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B5A56EC" w:rsidR="00975C7B" w:rsidRPr="00C07E91" w:rsidRDefault="00C07E91" w:rsidP="00C07E91">
      <w:pPr>
        <w:spacing w:line="360" w:lineRule="auto"/>
        <w:ind w:left="270"/>
        <w:jc w:val="both"/>
        <w:rPr>
          <w:rFonts w:ascii="Aptos" w:hAnsi="Aptos"/>
          <w:b/>
          <w:bCs/>
        </w:rPr>
      </w:pPr>
      <w:r w:rsidRPr="00C07E91">
        <w:rPr>
          <w:rFonts w:ascii="Aptos" w:hAnsi="Aptos"/>
          <w:b/>
          <w:bCs/>
        </w:rPr>
        <w:t>HIRING PROCEDURES</w:t>
      </w:r>
    </w:p>
    <w:p w14:paraId="066F9201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Hiring Process Requirements</w:t>
      </w:r>
    </w:p>
    <w:p w14:paraId="0140D2E9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All hiring decisions require: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Verification of certification (if applicable)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Background checks and fingerprinting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Reference checks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Review of digital skills and platform proficiency</w:t>
      </w:r>
    </w:p>
    <w:p w14:paraId="2EE7DE02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Employment is contingent on successful screening results.</w:t>
      </w:r>
    </w:p>
    <w:p w14:paraId="103CB066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Virtual Interview Procedures</w:t>
      </w:r>
    </w:p>
    <w:p w14:paraId="0347E47B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Virtual interviews must include: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Secure video meeting links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Structured, standardized interview questions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Verification of candidate identity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Digital submission of documents (resume, credentials, portfolios)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Panel documentation for HR compliance</w:t>
      </w:r>
    </w:p>
    <w:p w14:paraId="7814ECFA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Virtual interviews hold the same validity as in</w:t>
      </w:r>
      <w:r w:rsidRPr="00C07E91">
        <w:rPr>
          <w:rFonts w:ascii="Aptos" w:eastAsia="Times New Roman" w:hAnsi="Aptos" w:cs="Segoe UI"/>
          <w:kern w:val="0"/>
          <w14:ligatures w14:val="none"/>
        </w:rPr>
        <w:noBreakHyphen/>
        <w:t>person interviews.</w:t>
      </w:r>
    </w:p>
    <w:p w14:paraId="1FAAD019" w14:textId="77777777" w:rsid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C07E91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55D43469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Reference Checks</w:t>
      </w:r>
    </w:p>
    <w:p w14:paraId="48EB8393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 xml:space="preserve">Prior to hiring, the </w:t>
      </w:r>
      <w:proofErr w:type="gramStart"/>
      <w:r w:rsidRPr="00C07E91">
        <w:rPr>
          <w:rFonts w:ascii="Aptos" w:eastAsia="Times New Roman" w:hAnsi="Aptos" w:cs="Segoe UI"/>
          <w:kern w:val="0"/>
          <w14:ligatures w14:val="none"/>
        </w:rPr>
        <w:t>School</w:t>
      </w:r>
      <w:proofErr w:type="gramEnd"/>
      <w:r w:rsidRPr="00C07E91">
        <w:rPr>
          <w:rFonts w:ascii="Aptos" w:eastAsia="Times New Roman" w:hAnsi="Aptos" w:cs="Segoe UI"/>
          <w:kern w:val="0"/>
          <w14:ligatures w14:val="none"/>
        </w:rPr>
        <w:t xml:space="preserve"> must collect at least </w:t>
      </w: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two documented professional references</w:t>
      </w:r>
      <w:r w:rsidRPr="00C07E91">
        <w:rPr>
          <w:rFonts w:ascii="Aptos" w:eastAsia="Times New Roman" w:hAnsi="Aptos" w:cs="Segoe UI"/>
          <w:kern w:val="0"/>
          <w14:ligatures w14:val="none"/>
        </w:rPr>
        <w:t xml:space="preserve"> verifying: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Employment history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Professionalism and instructional ability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Suitability for working with minors</w:t>
      </w:r>
    </w:p>
    <w:p w14:paraId="0E2379AB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No employee may start work until references are completed.</w:t>
      </w:r>
    </w:p>
    <w:p w14:paraId="01FF51BE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Background Checks &amp; Fingerprinting</w:t>
      </w:r>
    </w:p>
    <w:p w14:paraId="3AEF977A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All staff—virtual or hybrid—must undergo: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FBI background check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State criminal background check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Abuse registry checks (as applicable)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Additional screenings for hybrid personnel</w:t>
      </w:r>
    </w:p>
    <w:p w14:paraId="1492F8AB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Orientation &amp; Onboarding</w:t>
      </w:r>
    </w:p>
    <w:p w14:paraId="655A7E54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All newly hired staff must complete online onboarding, including: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School mission &amp; philosophy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FERPA &amp; COPPA training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Technology systems training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Code of Conduct review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Cybersecurity protocols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</w:r>
      <w:r w:rsidRPr="00C07E91">
        <w:rPr>
          <w:rFonts w:ascii="Aptos" w:eastAsia="Times New Roman" w:hAnsi="Aptos" w:cs="Segoe UI"/>
          <w:kern w:val="0"/>
          <w14:ligatures w14:val="none"/>
        </w:rPr>
        <w:lastRenderedPageBreak/>
        <w:t>• Emergency procedures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Mandatory Reporter training</w:t>
      </w:r>
    </w:p>
    <w:p w14:paraId="5BAD3DEC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Access to student data is granted only after onboarding completion.</w:t>
      </w:r>
    </w:p>
    <w:p w14:paraId="202D65AC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C07E91">
        <w:rPr>
          <w:rFonts w:ascii="Aptos" w:eastAsia="Times New Roman" w:hAnsi="Aptos" w:cs="Segoe UI"/>
          <w:b/>
          <w:bCs/>
          <w:kern w:val="0"/>
          <w14:ligatures w14:val="none"/>
        </w:rPr>
        <w:t>HR Documentation</w:t>
      </w:r>
    </w:p>
    <w:p w14:paraId="08A23049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Employees must submit electronic HR documents, including: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Tax forms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Direct deposit authorization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Employment agreements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Confidentiality agreements</w:t>
      </w:r>
      <w:r w:rsidRPr="00C07E91">
        <w:rPr>
          <w:rFonts w:ascii="Aptos" w:eastAsia="Times New Roman" w:hAnsi="Aptos" w:cs="Segoe UI"/>
          <w:kern w:val="0"/>
          <w14:ligatures w14:val="none"/>
        </w:rPr>
        <w:br/>
        <w:t>• Technology usage agreements</w:t>
      </w:r>
    </w:p>
    <w:p w14:paraId="512307DB" w14:textId="77777777" w:rsidR="00C07E91" w:rsidRPr="00C07E91" w:rsidRDefault="00C07E91" w:rsidP="00C07E91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C07E91">
        <w:rPr>
          <w:rFonts w:ascii="Aptos" w:eastAsia="Times New Roman" w:hAnsi="Aptos" w:cs="Segoe UI"/>
          <w:kern w:val="0"/>
          <w14:ligatures w14:val="none"/>
        </w:rPr>
        <w:t>Incomplete documentation may delay employment start dates.</w:t>
      </w:r>
    </w:p>
    <w:p w14:paraId="36AE26BC" w14:textId="77777777" w:rsidR="00C07E91" w:rsidRPr="00C07E91" w:rsidRDefault="00C07E91" w:rsidP="00C07E91">
      <w:pPr>
        <w:spacing w:line="360" w:lineRule="auto"/>
        <w:ind w:left="270"/>
        <w:jc w:val="both"/>
        <w:rPr>
          <w:rFonts w:ascii="Aptos" w:hAnsi="Aptos"/>
        </w:rPr>
      </w:pPr>
    </w:p>
    <w:sectPr w:rsidR="00C07E91" w:rsidRPr="00C07E91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FD32A" w14:textId="77777777" w:rsidR="001C5F58" w:rsidRDefault="001C5F58" w:rsidP="00975C7B">
      <w:pPr>
        <w:spacing w:after="0" w:line="240" w:lineRule="auto"/>
      </w:pPr>
      <w:r>
        <w:separator/>
      </w:r>
    </w:p>
  </w:endnote>
  <w:endnote w:type="continuationSeparator" w:id="0">
    <w:p w14:paraId="33E4B517" w14:textId="77777777" w:rsidR="001C5F58" w:rsidRDefault="001C5F5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FB797" w14:textId="77777777" w:rsidR="001C5F58" w:rsidRDefault="001C5F58" w:rsidP="00975C7B">
      <w:pPr>
        <w:spacing w:after="0" w:line="240" w:lineRule="auto"/>
      </w:pPr>
      <w:r>
        <w:separator/>
      </w:r>
    </w:p>
  </w:footnote>
  <w:footnote w:type="continuationSeparator" w:id="0">
    <w:p w14:paraId="6BBB4626" w14:textId="77777777" w:rsidR="001C5F58" w:rsidRDefault="001C5F5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C5F58"/>
    <w:rsid w:val="002D017A"/>
    <w:rsid w:val="00327475"/>
    <w:rsid w:val="004462BE"/>
    <w:rsid w:val="00585C9C"/>
    <w:rsid w:val="00637C41"/>
    <w:rsid w:val="0095562C"/>
    <w:rsid w:val="00975C7B"/>
    <w:rsid w:val="00A85CB7"/>
    <w:rsid w:val="00A958D5"/>
    <w:rsid w:val="00AE0D6B"/>
    <w:rsid w:val="00C07E91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2026-01-29T16:08:00Z</dcterms:modified>
</cp:coreProperties>
</file>